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150" w:type="dxa"/>
        <w:tblCellSpacing w:w="0" w:type="dxa"/>
        <w:tblCellMar>
          <w:left w:w="0" w:type="dxa"/>
          <w:right w:w="0" w:type="dxa"/>
        </w:tblCellMar>
        <w:tblLook w:val="04A0"/>
      </w:tblPr>
      <w:tblGrid>
        <w:gridCol w:w="1012"/>
        <w:gridCol w:w="2429"/>
        <w:gridCol w:w="1013"/>
        <w:gridCol w:w="2552"/>
        <w:gridCol w:w="1013"/>
        <w:gridCol w:w="4131"/>
      </w:tblGrid>
      <w:tr w:rsidR="00B37C43" w:rsidRPr="00B37C43" w:rsidTr="00B37C43">
        <w:trPr>
          <w:tblCellSpacing w:w="0" w:type="dxa"/>
        </w:trPr>
        <w:tc>
          <w:tcPr>
            <w:tcW w:w="1215" w:type="dxa"/>
            <w:tcBorders>
              <w:top w:val="nil"/>
              <w:left w:val="nil"/>
              <w:bottom w:val="nil"/>
              <w:right w:val="nil"/>
            </w:tcBorders>
            <w:hideMark/>
          </w:tcPr>
          <w:p w:rsidR="00B37C43" w:rsidRPr="00B37C43" w:rsidRDefault="00B37C43" w:rsidP="00B37C43">
            <w:pPr>
              <w:widowControl/>
              <w:spacing w:line="375" w:lineRule="atLeast"/>
              <w:jc w:val="left"/>
              <w:rPr>
                <w:rFonts w:ascii="宋体" w:eastAsia="宋体" w:hAnsi="宋体" w:cs="宋体"/>
                <w:b/>
                <w:bCs/>
                <w:color w:val="4B4B4B"/>
                <w:kern w:val="0"/>
                <w:szCs w:val="21"/>
              </w:rPr>
            </w:pPr>
            <w:r w:rsidRPr="00B37C43">
              <w:rPr>
                <w:rFonts w:ascii="宋体" w:eastAsia="宋体" w:hAnsi="宋体" w:cs="宋体" w:hint="eastAsia"/>
                <w:b/>
                <w:bCs/>
                <w:color w:val="4B4B4B"/>
                <w:kern w:val="0"/>
                <w:szCs w:val="21"/>
              </w:rPr>
              <w:t>信息名称：</w:t>
            </w:r>
          </w:p>
        </w:tc>
        <w:tc>
          <w:tcPr>
            <w:tcW w:w="0" w:type="auto"/>
            <w:gridSpan w:val="5"/>
            <w:tcBorders>
              <w:top w:val="nil"/>
              <w:left w:val="nil"/>
              <w:bottom w:val="nil"/>
              <w:right w:val="nil"/>
            </w:tcBorders>
            <w:hideMark/>
          </w:tcPr>
          <w:p w:rsidR="00B37C43" w:rsidRPr="00B37C43" w:rsidRDefault="00B37C43" w:rsidP="00B37C43">
            <w:pPr>
              <w:widowControl/>
              <w:spacing w:line="375" w:lineRule="atLeast"/>
              <w:jc w:val="left"/>
              <w:rPr>
                <w:rFonts w:ascii="宋体" w:eastAsia="宋体" w:hAnsi="宋体" w:cs="宋体"/>
                <w:b/>
                <w:bCs/>
                <w:color w:val="CC3300"/>
                <w:kern w:val="0"/>
                <w:szCs w:val="21"/>
              </w:rPr>
            </w:pPr>
            <w:r w:rsidRPr="00B37C43">
              <w:rPr>
                <w:rFonts w:ascii="宋体" w:eastAsia="宋体" w:hAnsi="宋体" w:cs="宋体" w:hint="eastAsia"/>
                <w:b/>
                <w:bCs/>
                <w:color w:val="CC3300"/>
                <w:kern w:val="0"/>
                <w:szCs w:val="21"/>
              </w:rPr>
              <w:t>教育部关于举办第四届中国“互联网+”大学生创新创业大赛的通知</w:t>
            </w:r>
          </w:p>
        </w:tc>
      </w:tr>
      <w:tr w:rsidR="00B37C43" w:rsidRPr="00B37C43" w:rsidTr="00B37C43">
        <w:trPr>
          <w:tblCellSpacing w:w="0" w:type="dxa"/>
        </w:trPr>
        <w:tc>
          <w:tcPr>
            <w:tcW w:w="1215" w:type="dxa"/>
            <w:tcBorders>
              <w:top w:val="nil"/>
              <w:left w:val="nil"/>
              <w:bottom w:val="nil"/>
              <w:right w:val="nil"/>
            </w:tcBorders>
            <w:hideMark/>
          </w:tcPr>
          <w:p w:rsidR="00B37C43" w:rsidRPr="00B37C43" w:rsidRDefault="00B37C43" w:rsidP="00B37C43">
            <w:pPr>
              <w:widowControl/>
              <w:spacing w:line="375" w:lineRule="atLeast"/>
              <w:jc w:val="left"/>
              <w:rPr>
                <w:rFonts w:ascii="宋体" w:eastAsia="宋体" w:hAnsi="宋体" w:cs="宋体"/>
                <w:b/>
                <w:bCs/>
                <w:color w:val="4B4B4B"/>
                <w:kern w:val="0"/>
                <w:szCs w:val="21"/>
              </w:rPr>
            </w:pPr>
            <w:r w:rsidRPr="00B37C43">
              <w:rPr>
                <w:rFonts w:ascii="宋体" w:eastAsia="宋体" w:hAnsi="宋体" w:cs="宋体" w:hint="eastAsia"/>
                <w:b/>
                <w:bCs/>
                <w:color w:val="4B4B4B"/>
                <w:kern w:val="0"/>
                <w:szCs w:val="21"/>
              </w:rPr>
              <w:t>信息索引：</w:t>
            </w:r>
          </w:p>
        </w:tc>
        <w:tc>
          <w:tcPr>
            <w:tcW w:w="1000" w:type="pct"/>
            <w:tcBorders>
              <w:top w:val="nil"/>
              <w:left w:val="nil"/>
              <w:bottom w:val="nil"/>
              <w:right w:val="nil"/>
            </w:tcBorders>
            <w:hideMark/>
          </w:tcPr>
          <w:p w:rsidR="00B37C43" w:rsidRPr="00B37C43" w:rsidRDefault="00B37C43" w:rsidP="00B37C43">
            <w:pPr>
              <w:widowControl/>
              <w:spacing w:line="375" w:lineRule="atLeast"/>
              <w:jc w:val="left"/>
              <w:rPr>
                <w:rFonts w:ascii="宋体" w:eastAsia="宋体" w:hAnsi="宋体" w:cs="宋体"/>
                <w:color w:val="4B4B4B"/>
                <w:kern w:val="0"/>
                <w:szCs w:val="21"/>
              </w:rPr>
            </w:pPr>
            <w:r w:rsidRPr="00B37C43">
              <w:rPr>
                <w:rFonts w:ascii="宋体" w:eastAsia="宋体" w:hAnsi="宋体" w:cs="宋体" w:hint="eastAsia"/>
                <w:color w:val="4B4B4B"/>
                <w:kern w:val="0"/>
                <w:szCs w:val="21"/>
              </w:rPr>
              <w:t>360A08-07-2018-0004-1</w:t>
            </w:r>
          </w:p>
        </w:tc>
        <w:tc>
          <w:tcPr>
            <w:tcW w:w="1215" w:type="dxa"/>
            <w:tcBorders>
              <w:top w:val="nil"/>
              <w:left w:val="nil"/>
              <w:bottom w:val="nil"/>
              <w:right w:val="nil"/>
            </w:tcBorders>
            <w:hideMark/>
          </w:tcPr>
          <w:p w:rsidR="00B37C43" w:rsidRPr="00B37C43" w:rsidRDefault="00B37C43" w:rsidP="00B37C43">
            <w:pPr>
              <w:widowControl/>
              <w:spacing w:line="375" w:lineRule="atLeast"/>
              <w:jc w:val="left"/>
              <w:rPr>
                <w:rFonts w:ascii="宋体" w:eastAsia="宋体" w:hAnsi="宋体" w:cs="宋体"/>
                <w:b/>
                <w:bCs/>
                <w:color w:val="4B4B4B"/>
                <w:kern w:val="0"/>
                <w:szCs w:val="21"/>
              </w:rPr>
            </w:pPr>
            <w:r w:rsidRPr="00B37C43">
              <w:rPr>
                <w:rFonts w:ascii="宋体" w:eastAsia="宋体" w:hAnsi="宋体" w:cs="宋体" w:hint="eastAsia"/>
                <w:b/>
                <w:bCs/>
                <w:color w:val="4B4B4B"/>
                <w:kern w:val="0"/>
                <w:szCs w:val="21"/>
              </w:rPr>
              <w:t>生成日期：</w:t>
            </w:r>
          </w:p>
        </w:tc>
        <w:tc>
          <w:tcPr>
            <w:tcW w:w="1050" w:type="pct"/>
            <w:tcBorders>
              <w:top w:val="nil"/>
              <w:left w:val="nil"/>
              <w:bottom w:val="nil"/>
              <w:right w:val="nil"/>
            </w:tcBorders>
            <w:hideMark/>
          </w:tcPr>
          <w:p w:rsidR="00B37C43" w:rsidRPr="00B37C43" w:rsidRDefault="00B37C43" w:rsidP="00B37C43">
            <w:pPr>
              <w:widowControl/>
              <w:spacing w:line="375" w:lineRule="atLeast"/>
              <w:jc w:val="left"/>
              <w:rPr>
                <w:rFonts w:ascii="宋体" w:eastAsia="宋体" w:hAnsi="宋体" w:cs="宋体"/>
                <w:color w:val="4B4B4B"/>
                <w:kern w:val="0"/>
                <w:szCs w:val="21"/>
              </w:rPr>
            </w:pPr>
            <w:r w:rsidRPr="00B37C43">
              <w:rPr>
                <w:rFonts w:ascii="宋体" w:eastAsia="宋体" w:hAnsi="宋体" w:cs="宋体" w:hint="eastAsia"/>
                <w:color w:val="4B4B4B"/>
                <w:kern w:val="0"/>
                <w:szCs w:val="21"/>
              </w:rPr>
              <w:t>2018-03-09</w:t>
            </w:r>
          </w:p>
        </w:tc>
        <w:tc>
          <w:tcPr>
            <w:tcW w:w="1215" w:type="dxa"/>
            <w:tcBorders>
              <w:top w:val="nil"/>
              <w:left w:val="nil"/>
              <w:bottom w:val="nil"/>
              <w:right w:val="nil"/>
            </w:tcBorders>
            <w:hideMark/>
          </w:tcPr>
          <w:p w:rsidR="00B37C43" w:rsidRPr="00B37C43" w:rsidRDefault="00B37C43" w:rsidP="00B37C43">
            <w:pPr>
              <w:widowControl/>
              <w:spacing w:line="375" w:lineRule="atLeast"/>
              <w:jc w:val="left"/>
              <w:rPr>
                <w:rFonts w:ascii="宋体" w:eastAsia="宋体" w:hAnsi="宋体" w:cs="宋体"/>
                <w:b/>
                <w:bCs/>
                <w:color w:val="4B4B4B"/>
                <w:kern w:val="0"/>
                <w:szCs w:val="21"/>
              </w:rPr>
            </w:pPr>
            <w:r w:rsidRPr="00B37C43">
              <w:rPr>
                <w:rFonts w:ascii="宋体" w:eastAsia="宋体" w:hAnsi="宋体" w:cs="宋体" w:hint="eastAsia"/>
                <w:b/>
                <w:bCs/>
                <w:color w:val="4B4B4B"/>
                <w:kern w:val="0"/>
                <w:szCs w:val="21"/>
              </w:rPr>
              <w:t>发文机构：</w:t>
            </w:r>
          </w:p>
        </w:tc>
        <w:tc>
          <w:tcPr>
            <w:tcW w:w="1700" w:type="pct"/>
            <w:tcBorders>
              <w:top w:val="nil"/>
              <w:left w:val="nil"/>
              <w:bottom w:val="nil"/>
              <w:right w:val="nil"/>
            </w:tcBorders>
            <w:hideMark/>
          </w:tcPr>
          <w:p w:rsidR="00B37C43" w:rsidRPr="00B37C43" w:rsidRDefault="00B37C43" w:rsidP="00B37C43">
            <w:pPr>
              <w:widowControl/>
              <w:spacing w:line="375" w:lineRule="atLeast"/>
              <w:jc w:val="left"/>
              <w:rPr>
                <w:rFonts w:ascii="宋体" w:eastAsia="宋体" w:hAnsi="宋体" w:cs="宋体"/>
                <w:color w:val="4B4B4B"/>
                <w:kern w:val="0"/>
                <w:szCs w:val="21"/>
              </w:rPr>
            </w:pPr>
            <w:r w:rsidRPr="00B37C43">
              <w:rPr>
                <w:rFonts w:ascii="宋体" w:eastAsia="宋体" w:hAnsi="宋体" w:cs="宋体" w:hint="eastAsia"/>
                <w:color w:val="4B4B4B"/>
                <w:kern w:val="0"/>
                <w:szCs w:val="21"/>
              </w:rPr>
              <w:t>中华人民共和国教育部</w:t>
            </w:r>
          </w:p>
        </w:tc>
      </w:tr>
      <w:tr w:rsidR="00B37C43" w:rsidRPr="00B37C43" w:rsidTr="00B37C43">
        <w:trPr>
          <w:tblCellSpacing w:w="0" w:type="dxa"/>
        </w:trPr>
        <w:tc>
          <w:tcPr>
            <w:tcW w:w="1215" w:type="dxa"/>
            <w:tcBorders>
              <w:top w:val="nil"/>
              <w:left w:val="nil"/>
              <w:bottom w:val="nil"/>
              <w:right w:val="nil"/>
            </w:tcBorders>
            <w:hideMark/>
          </w:tcPr>
          <w:p w:rsidR="00B37C43" w:rsidRPr="00B37C43" w:rsidRDefault="00B37C43" w:rsidP="00B37C43">
            <w:pPr>
              <w:widowControl/>
              <w:spacing w:line="375" w:lineRule="atLeast"/>
              <w:jc w:val="left"/>
              <w:rPr>
                <w:rFonts w:ascii="宋体" w:eastAsia="宋体" w:hAnsi="宋体" w:cs="宋体"/>
                <w:b/>
                <w:bCs/>
                <w:color w:val="4B4B4B"/>
                <w:kern w:val="0"/>
                <w:szCs w:val="21"/>
              </w:rPr>
            </w:pPr>
            <w:r w:rsidRPr="00B37C43">
              <w:rPr>
                <w:rFonts w:ascii="宋体" w:eastAsia="宋体" w:hAnsi="宋体" w:cs="宋体" w:hint="eastAsia"/>
                <w:b/>
                <w:bCs/>
                <w:color w:val="4B4B4B"/>
                <w:kern w:val="0"/>
                <w:szCs w:val="21"/>
              </w:rPr>
              <w:t>发文字号：</w:t>
            </w:r>
          </w:p>
        </w:tc>
        <w:tc>
          <w:tcPr>
            <w:tcW w:w="0" w:type="auto"/>
            <w:tcBorders>
              <w:top w:val="nil"/>
              <w:left w:val="nil"/>
              <w:bottom w:val="nil"/>
              <w:right w:val="nil"/>
            </w:tcBorders>
            <w:hideMark/>
          </w:tcPr>
          <w:p w:rsidR="00B37C43" w:rsidRPr="00B37C43" w:rsidRDefault="00B37C43" w:rsidP="00B37C43">
            <w:pPr>
              <w:widowControl/>
              <w:spacing w:line="375" w:lineRule="atLeast"/>
              <w:jc w:val="left"/>
              <w:rPr>
                <w:rFonts w:ascii="宋体" w:eastAsia="宋体" w:hAnsi="宋体" w:cs="宋体"/>
                <w:color w:val="4B4B4B"/>
                <w:kern w:val="0"/>
                <w:szCs w:val="21"/>
              </w:rPr>
            </w:pPr>
            <w:r w:rsidRPr="00B37C43">
              <w:rPr>
                <w:rFonts w:ascii="宋体" w:eastAsia="宋体" w:hAnsi="宋体" w:cs="宋体" w:hint="eastAsia"/>
                <w:color w:val="4B4B4B"/>
                <w:kern w:val="0"/>
                <w:szCs w:val="21"/>
              </w:rPr>
              <w:t>教高函〔2018〕2号</w:t>
            </w:r>
          </w:p>
        </w:tc>
        <w:tc>
          <w:tcPr>
            <w:tcW w:w="1215" w:type="dxa"/>
            <w:tcBorders>
              <w:top w:val="nil"/>
              <w:left w:val="nil"/>
              <w:bottom w:val="nil"/>
              <w:right w:val="nil"/>
            </w:tcBorders>
            <w:hideMark/>
          </w:tcPr>
          <w:p w:rsidR="00B37C43" w:rsidRPr="00B37C43" w:rsidRDefault="00B37C43" w:rsidP="00B37C43">
            <w:pPr>
              <w:widowControl/>
              <w:spacing w:line="375" w:lineRule="atLeast"/>
              <w:jc w:val="left"/>
              <w:rPr>
                <w:rFonts w:ascii="宋体" w:eastAsia="宋体" w:hAnsi="宋体" w:cs="宋体"/>
                <w:b/>
                <w:bCs/>
                <w:color w:val="4B4B4B"/>
                <w:kern w:val="0"/>
                <w:szCs w:val="21"/>
              </w:rPr>
            </w:pPr>
            <w:r w:rsidRPr="00B37C43">
              <w:rPr>
                <w:rFonts w:ascii="宋体" w:eastAsia="宋体" w:hAnsi="宋体" w:cs="宋体" w:hint="eastAsia"/>
                <w:b/>
                <w:bCs/>
                <w:color w:val="4B4B4B"/>
                <w:kern w:val="0"/>
                <w:szCs w:val="21"/>
              </w:rPr>
              <w:t>信息类别：</w:t>
            </w:r>
          </w:p>
        </w:tc>
        <w:tc>
          <w:tcPr>
            <w:tcW w:w="0" w:type="auto"/>
            <w:gridSpan w:val="3"/>
            <w:tcBorders>
              <w:top w:val="nil"/>
              <w:left w:val="nil"/>
              <w:bottom w:val="nil"/>
              <w:right w:val="nil"/>
            </w:tcBorders>
            <w:hideMark/>
          </w:tcPr>
          <w:p w:rsidR="00B37C43" w:rsidRPr="00B37C43" w:rsidRDefault="00B37C43" w:rsidP="00B37C43">
            <w:pPr>
              <w:widowControl/>
              <w:spacing w:line="375" w:lineRule="atLeast"/>
              <w:jc w:val="left"/>
              <w:rPr>
                <w:rFonts w:ascii="宋体" w:eastAsia="宋体" w:hAnsi="宋体" w:cs="宋体"/>
                <w:color w:val="4B4B4B"/>
                <w:kern w:val="0"/>
                <w:szCs w:val="21"/>
              </w:rPr>
            </w:pPr>
            <w:r w:rsidRPr="00B37C43">
              <w:rPr>
                <w:rFonts w:ascii="宋体" w:eastAsia="宋体" w:hAnsi="宋体" w:cs="宋体" w:hint="eastAsia"/>
                <w:color w:val="4B4B4B"/>
                <w:kern w:val="0"/>
                <w:szCs w:val="21"/>
              </w:rPr>
              <w:t>高等教育</w:t>
            </w:r>
          </w:p>
        </w:tc>
      </w:tr>
      <w:tr w:rsidR="00B37C43" w:rsidRPr="00B37C43" w:rsidTr="00B37C43">
        <w:trPr>
          <w:tblCellSpacing w:w="0" w:type="dxa"/>
        </w:trPr>
        <w:tc>
          <w:tcPr>
            <w:tcW w:w="1215" w:type="dxa"/>
            <w:tcBorders>
              <w:top w:val="nil"/>
              <w:left w:val="nil"/>
              <w:bottom w:val="nil"/>
              <w:right w:val="nil"/>
            </w:tcBorders>
            <w:hideMark/>
          </w:tcPr>
          <w:p w:rsidR="00B37C43" w:rsidRPr="00B37C43" w:rsidRDefault="00B37C43" w:rsidP="00B37C43">
            <w:pPr>
              <w:widowControl/>
              <w:spacing w:line="375" w:lineRule="atLeast"/>
              <w:jc w:val="left"/>
              <w:rPr>
                <w:rFonts w:ascii="宋体" w:eastAsia="宋体" w:hAnsi="宋体" w:cs="宋体"/>
                <w:b/>
                <w:bCs/>
                <w:color w:val="4B4B4B"/>
                <w:kern w:val="0"/>
                <w:szCs w:val="21"/>
              </w:rPr>
            </w:pPr>
            <w:r w:rsidRPr="00B37C43">
              <w:rPr>
                <w:rFonts w:ascii="宋体" w:eastAsia="宋体" w:hAnsi="宋体" w:cs="宋体" w:hint="eastAsia"/>
                <w:b/>
                <w:bCs/>
                <w:color w:val="4B4B4B"/>
                <w:kern w:val="0"/>
                <w:szCs w:val="21"/>
              </w:rPr>
              <w:t>内容概述：</w:t>
            </w:r>
          </w:p>
        </w:tc>
        <w:tc>
          <w:tcPr>
            <w:tcW w:w="0" w:type="auto"/>
            <w:gridSpan w:val="5"/>
            <w:tcBorders>
              <w:top w:val="nil"/>
              <w:left w:val="nil"/>
              <w:bottom w:val="nil"/>
              <w:right w:val="nil"/>
            </w:tcBorders>
            <w:hideMark/>
          </w:tcPr>
          <w:p w:rsidR="00B37C43" w:rsidRPr="00B37C43" w:rsidRDefault="00B37C43" w:rsidP="00B37C43">
            <w:pPr>
              <w:widowControl/>
              <w:spacing w:line="375" w:lineRule="atLeast"/>
              <w:jc w:val="left"/>
              <w:rPr>
                <w:rFonts w:ascii="宋体" w:eastAsia="宋体" w:hAnsi="宋体" w:cs="宋体"/>
                <w:color w:val="4B4B4B"/>
                <w:kern w:val="0"/>
                <w:szCs w:val="21"/>
              </w:rPr>
            </w:pPr>
            <w:r w:rsidRPr="00B37C43">
              <w:rPr>
                <w:rFonts w:ascii="宋体" w:eastAsia="宋体" w:hAnsi="宋体" w:cs="宋体" w:hint="eastAsia"/>
                <w:color w:val="4B4B4B"/>
                <w:kern w:val="0"/>
                <w:szCs w:val="21"/>
              </w:rPr>
              <w:t>教育部举办第四届中国“互联网+”大学生创新创业大赛。</w:t>
            </w:r>
          </w:p>
        </w:tc>
      </w:tr>
    </w:tbl>
    <w:p w:rsidR="00B37C43" w:rsidRPr="00B37C43" w:rsidRDefault="00B37C43" w:rsidP="00B37C43">
      <w:pPr>
        <w:widowControl/>
        <w:spacing w:line="480" w:lineRule="atLeast"/>
        <w:jc w:val="right"/>
        <w:rPr>
          <w:rFonts w:ascii="微软雅黑" w:eastAsia="微软雅黑" w:hAnsi="微软雅黑" w:cs="Times New Roman"/>
          <w:b/>
          <w:bCs/>
          <w:color w:val="4B4B4B"/>
          <w:kern w:val="0"/>
          <w:sz w:val="24"/>
          <w:szCs w:val="24"/>
        </w:rPr>
      </w:pPr>
      <w:r w:rsidRPr="00B37C43">
        <w:rPr>
          <w:rFonts w:ascii="微软雅黑" w:eastAsia="微软雅黑" w:hAnsi="微软雅黑" w:cs="Times New Roman" w:hint="eastAsia"/>
          <w:b/>
          <w:bCs/>
          <w:color w:val="4B4B4B"/>
          <w:kern w:val="0"/>
          <w:sz w:val="24"/>
          <w:szCs w:val="24"/>
        </w:rPr>
        <w:t>教高函〔2018〕2号</w:t>
      </w:r>
    </w:p>
    <w:p w:rsidR="00B37C43" w:rsidRPr="00B37C43" w:rsidRDefault="00B37C43" w:rsidP="00B37C43">
      <w:pPr>
        <w:widowControl/>
        <w:jc w:val="center"/>
        <w:outlineLvl w:val="0"/>
        <w:rPr>
          <w:rFonts w:ascii="微软雅黑" w:eastAsia="微软雅黑" w:hAnsi="微软雅黑" w:cs="Times New Roman" w:hint="eastAsia"/>
          <w:b/>
          <w:bCs/>
          <w:color w:val="4B4B4B"/>
          <w:kern w:val="36"/>
          <w:sz w:val="30"/>
          <w:szCs w:val="30"/>
        </w:rPr>
      </w:pPr>
      <w:r w:rsidRPr="00B37C43">
        <w:rPr>
          <w:rFonts w:ascii="微软雅黑" w:eastAsia="微软雅黑" w:hAnsi="微软雅黑" w:cs="Times New Roman" w:hint="eastAsia"/>
          <w:b/>
          <w:bCs/>
          <w:color w:val="4B4B4B"/>
          <w:kern w:val="36"/>
          <w:sz w:val="30"/>
          <w:szCs w:val="30"/>
        </w:rPr>
        <w:t>教育部关于举办第四届中国“互联网+”</w:t>
      </w:r>
      <w:r w:rsidRPr="00B37C43">
        <w:rPr>
          <w:rFonts w:ascii="微软雅黑" w:eastAsia="微软雅黑" w:hAnsi="微软雅黑" w:cs="Times New Roman" w:hint="eastAsia"/>
          <w:b/>
          <w:bCs/>
          <w:color w:val="4B4B4B"/>
          <w:kern w:val="36"/>
          <w:sz w:val="30"/>
          <w:szCs w:val="30"/>
        </w:rPr>
        <w:br/>
        <w:t>大学生创新创业大赛的通知</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各省、自治区、直辖市教育厅（教委），新疆生产建设兵团教育局，有关部门（单位）教育司（局），部属各高等学校：</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为学习贯彻习近平新时代中国特色社会主义思想和党的十九大精神，深入落实习近平总书记给第三届大赛“青年红色筑梦之旅”大学生重要回信精神，贯彻落实《国务院办公厅关于深化高等学校创新创业教育改革的实施意见》（国办发〔2015〕36号），进一步激发高校学生创新创业热情，展示高校创新创业教育成果，搭建大学生创新创业项目与社会投资对接平台，定于2018年3月至10月举办第四届中国“互联网+”大学生创新创业大赛。现将有关事项通知如下：</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w:t>
      </w:r>
      <w:r w:rsidRPr="00B37C43">
        <w:rPr>
          <w:rFonts w:ascii="微软雅黑" w:eastAsia="微软雅黑" w:hAnsi="微软雅黑" w:cs="Times New Roman" w:hint="eastAsia"/>
          <w:b/>
          <w:bCs/>
          <w:color w:val="4B4B4B"/>
          <w:kern w:val="0"/>
          <w:sz w:val="24"/>
          <w:szCs w:val="24"/>
        </w:rPr>
        <w:t>一、大赛主题</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勇立时代潮头敢闯会创 扎根中国大地书写人生华章</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w:t>
      </w:r>
      <w:r w:rsidRPr="00B37C43">
        <w:rPr>
          <w:rFonts w:ascii="微软雅黑" w:eastAsia="微软雅黑" w:hAnsi="微软雅黑" w:cs="Times New Roman" w:hint="eastAsia"/>
          <w:b/>
          <w:bCs/>
          <w:color w:val="4B4B4B"/>
          <w:kern w:val="0"/>
          <w:sz w:val="24"/>
          <w:szCs w:val="24"/>
        </w:rPr>
        <w:t>二、大赛目的与任务</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旨在深化高等教育综合改革，激发大学生的创造力，培养造就“大众创业、万众创新”生力军；鼓励广大青年扎根中国大地了解国情民情，在创新创业中增长智慧才干，在艰苦奋斗中锤炼意志品质，把激昂的青春梦融入伟大的中国梦。</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重在把大赛作为深化创新创业教育改革的重要抓手，引导各地各高校主动服务国家战略和区域发展，积极开展教育教学改革探索，切实提高高校学生的创新精神、创业意识和创新创业能力。推动创新创业教育与思想政治教育紧密结合、</w:t>
      </w:r>
      <w:r w:rsidRPr="00B37C43">
        <w:rPr>
          <w:rFonts w:ascii="微软雅黑" w:eastAsia="微软雅黑" w:hAnsi="微软雅黑" w:cs="Times New Roman" w:hint="eastAsia"/>
          <w:color w:val="4B4B4B"/>
          <w:kern w:val="0"/>
          <w:sz w:val="24"/>
          <w:szCs w:val="24"/>
        </w:rPr>
        <w:lastRenderedPageBreak/>
        <w:t>与专业教育深度融合，促进学生全面发展，努力成为德才兼备的有为人才。推动赛事成果转化和产学研用紧密结合，促进“互联网+”新业态形成，服务经济高质量发展。以创新引领创业、以创业带动就业，努力形成高校毕业生更高质量创业就业的新局面。</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w:t>
      </w:r>
      <w:r w:rsidRPr="00B37C43">
        <w:rPr>
          <w:rFonts w:ascii="微软雅黑" w:eastAsia="微软雅黑" w:hAnsi="微软雅黑" w:cs="Times New Roman" w:hint="eastAsia"/>
          <w:b/>
          <w:bCs/>
          <w:color w:val="4B4B4B"/>
          <w:kern w:val="0"/>
          <w:sz w:val="24"/>
          <w:szCs w:val="24"/>
        </w:rPr>
        <w:t>三、大赛总体安排</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第四届大赛要力争做到“有广度、有高度、有深度、有温度”，努力体现有突破、有特色、有新意。扩大参赛规模，实现区域、学校、学生类型全覆盖和国际赛道拓展；广泛实施“青年红色筑梦之旅”活动，培养有理想、有本领、有担当的热血青春力量；壮大创新创业生力军，服务创新驱动发展、“一带一路”建设、乡村振兴和脱贫攻坚等国家战略。突出“海丝”特色，加强“海上丝绸之路”沿线国家创新创业教育合作；突出海峡特色，推动海峡两岸青年大学生深度交流；突出海洋文化特色，培养学生敢闯敢创、敢于冒险、敢为天下先的创新创业精神。以改革开放40周年为契机，实现更大程度的开放合作，打造国际大赛平台，努力办一届惊艳非凡的全球双创盛会。</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第四届大赛将举办“1+5”系列活动。“1”是主体赛事，在校赛、省赛基础上，举办全国总决赛（含金奖争夺赛、四强争夺赛和冠军争夺赛）。“5”是5项同期活动，具体包括：</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1.“青年红色筑梦之旅”活动。在更大范围、更高层次、更深程度上开展“青年红色筑梦之旅”活动，推动创新创业教育与思想政治教育相融合，创新创业实践与乡村振兴战略、精准扶贫脱贫相结合，打造一堂全国最大的思政课。组织理工、农林、医学、师范、法律、人文社科等各专业大学生以及企业家、投资人等，以“科技中国小分队”“幸福中国小分队”“健康中国小分队”“教育中国小分</w:t>
      </w:r>
      <w:r w:rsidRPr="00B37C43">
        <w:rPr>
          <w:rFonts w:ascii="微软雅黑" w:eastAsia="微软雅黑" w:hAnsi="微软雅黑" w:cs="Times New Roman" w:hint="eastAsia"/>
          <w:color w:val="4B4B4B"/>
          <w:kern w:val="0"/>
          <w:sz w:val="24"/>
          <w:szCs w:val="24"/>
        </w:rPr>
        <w:lastRenderedPageBreak/>
        <w:t>队”“法治中国小分队”“十九大宣讲小分队”或项目团队组团等形式，走进革命老区、贫困地区，接受思想洗礼、学习革命精神、传承红色基因，将高校的智力、技术和项目资源辐射到广大农村地区，推动当地社会经济建设，助力精准扶贫和乡村振兴（具体活动方案见附件）。</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2.“21世纪海上丝绸之路”系列活动。主动服务“一带一路”建设，推动教育先行，实现创新创业教育交流合作从“丝绸之路经济带”到“21世纪海上丝绸之路”的全面布局，为民心相通、合作共赢铺路搭桥。建立创新创业教育共同体，成立“21世纪海上丝绸之路”大学联盟、举办“一带一路”大学校长创新创业教育论坛，深化“一带一路”沿线国家双创教育合作和青年交流，为国际高等教育发展贡献新经验。</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3.“大学生创客秀”（大学生创新创业成果展）。在大赛总决赛期间举办“大学生创客秀”，在承办校厦门大学设置项目展示区、项目路演区、投融资对接区、合作签约区、交流分享区、创意产品体验区等，开展投资洽谈、创新创业成果展、团队展示等活动，为各方人员提供开放参与的机会。</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4.改革开放40年优秀企业家对话大学生创业者（“互联网+”产学合作协同育人报告会）。邀请改革开放40年来涌现出的有影响的企业家、投资人、行业领军人物、技术专家与大学生创业者对话，在总决赛期间开设报告会或主旨演讲，围绕产业发展趋势、行业人才需求和产学合作协同育人等主题进行交流，传播成功经验，共享创新创业理念，助力大学生成长发展。</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5.大赛优秀项目对接巡展。在2018年“数字中国”建设峰会、第二十二届中国国际投资贸易洽谈会和大赛总决赛期间设立专区，开展优秀项目展示交流和投融资洽谈对接活动，进一步推动大赛成果转化应用。实施国际优秀创新创业项</w:t>
      </w:r>
      <w:r w:rsidRPr="00B37C43">
        <w:rPr>
          <w:rFonts w:ascii="微软雅黑" w:eastAsia="微软雅黑" w:hAnsi="微软雅黑" w:cs="Times New Roman" w:hint="eastAsia"/>
          <w:color w:val="4B4B4B"/>
          <w:kern w:val="0"/>
          <w:sz w:val="24"/>
          <w:szCs w:val="24"/>
        </w:rPr>
        <w:lastRenderedPageBreak/>
        <w:t>目落地计划，举办地方政府与双创项目对接巡展，推动科技含量高、市场潜力大、社会效益好、具有明显投资价值的优质项目落户中国。</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w:t>
      </w:r>
      <w:r w:rsidRPr="00B37C43">
        <w:rPr>
          <w:rFonts w:ascii="微软雅黑" w:eastAsia="微软雅黑" w:hAnsi="微软雅黑" w:cs="Times New Roman" w:hint="eastAsia"/>
          <w:b/>
          <w:bCs/>
          <w:color w:val="4B4B4B"/>
          <w:kern w:val="0"/>
          <w:sz w:val="24"/>
          <w:szCs w:val="24"/>
        </w:rPr>
        <w:t>四、组织机构</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本次大赛由教育部、中央网络安全和信息化领导小组办公室、国家发展和改革委员会、工业和信息化部、人力资源社会保障部、环境保护部、农业部、国家知识产权局、国务院侨务办公室、中国科学院、中国工程院、国务院扶贫开发领导小组办公室、共青团中央和福建省人民政府共同主办，厦门大学承办。</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大赛设立组织委员会（简称大赛组委会），由教育部部长陈宝生和福建省省长唐登杰担任主任，有关部门负责人作为成员，负责大赛的组织实施。</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大赛设立专家委员会，由中国工程院原常务副院长潘云鹤担任主任，国家知识产权局原局长田力普担任副主任，社会投资机构、行业企业、大学科技园、高校和科研院所专家作为成员，负责参赛项目的评审工作，指导大学生创新创业。</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大赛设立纪律与监督委员会，对大赛组织评审工作和协办单位相关工作进行监督，并对违反大赛纪律的行为给予处理。</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本次大赛由中国建设银行和中国高校创新创业教育联盟、全国高校创新创业投资服务联盟、中国教育创新校企联盟、中国高校创新创业孵化器联盟、中关村百人会天使投资联盟、全国高校双创教育协作媒体联盟（新华社、中央电视台、中国教育报、中国教育电视台、光明校园传媒等）等参与协办。</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各省（区、市）可根据实际成立相应的机构，开展本地初赛和复赛的组织实施、项目评审和推荐等工作。</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w:t>
      </w:r>
      <w:r w:rsidRPr="00B37C43">
        <w:rPr>
          <w:rFonts w:ascii="微软雅黑" w:eastAsia="微软雅黑" w:hAnsi="微软雅黑" w:cs="Times New Roman" w:hint="eastAsia"/>
          <w:b/>
          <w:bCs/>
          <w:color w:val="4B4B4B"/>
          <w:kern w:val="0"/>
          <w:sz w:val="24"/>
          <w:szCs w:val="24"/>
        </w:rPr>
        <w:t>五、参赛项目要求</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lastRenderedPageBreak/>
        <w:t xml:space="preserve">　　参赛项目能够将移动互联网、云计算、大数据、人工智能、物联网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1.“互联网+”现代农业，包括农林牧渔等；</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2.“互联网+”制造业，包括智能硬件、先进制造、工业自动化、生物医药、节能环保、新材料、军工等；</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3.“互联网+”信息技术服务，包括人工智能技术、物联网技术、网络空间安全技术、大数据、云计算、工具软件、社交网络、媒体门户、企业服务等；</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4.“互联网+”文化创意服务，包括广播影视、设计服务、文化艺术、旅游休闲、艺术品交易、广告会展、动漫娱乐、体育竞技等；</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5.“互联网+”社会服务，包括电子商务、消费生活、金融、财经法务、房产家居、高效物流、教育培训、医疗健康、交通、人力资源服务等；</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6.“互联网+”公益创业，以社会价值为导向的非盈利性创业。</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参赛项目不只限于“互联网+”项目，鼓励各类创新创业项目参赛，根据行业背景选择相应类型。以上各类项目可自主选择参加“青年红色筑梦之旅”活动。</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lastRenderedPageBreak/>
        <w:t xml:space="preserve">　　参赛项目涉及他人知识产权的，报名时需提交完整的具有法律效力的所有人书面授权许可书、专利证书等；已完成工商登记注册的创业项目，报名时需提交单位概况、法定代表人情况、股权结构、组织机构代码复印件等。参赛项目可提供当前财务数据、已获投资情况、带动就业情况等相关证明材料。</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w:t>
      </w:r>
      <w:r w:rsidRPr="00B37C43">
        <w:rPr>
          <w:rFonts w:ascii="微软雅黑" w:eastAsia="微软雅黑" w:hAnsi="微软雅黑" w:cs="Times New Roman" w:hint="eastAsia"/>
          <w:b/>
          <w:bCs/>
          <w:color w:val="4B4B4B"/>
          <w:kern w:val="0"/>
          <w:sz w:val="24"/>
          <w:szCs w:val="24"/>
        </w:rPr>
        <w:t>六、参赛对象</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根据参赛项目所处的创业阶段、已获投资情况和项目特点，大赛分为创意组、初创组、成长组、就业型创业组。具体参赛条件如下：</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1.创意组。参赛项目具有较好的创意和较为成型的产品原型或服务模式，在2018年5月31日（以下时间均包含当日）前尚未完成工商登记注册。参赛申报人须为团队负责人，须为普通高等学校在校生（可为本专科生、研究生，不含在职生）。</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2.初创组。参赛项目工商登记注册未满3年（2015年3月1日后注册），且获机构或个人股权投资不超过1轮次。参赛申报人须为初创企业法人代表，须为普通高等学校在校生（可为本专科生、研究生，不含在职生），或毕业5年以内的毕业生（2013年之后毕业的本专科生、研究生，不含在职生）。企业法人在大赛通知发布之日后进行变更的不予认可。</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3.成长组。参赛项目工商登记注册3年以上（2015年3月1日前注册）；或工商登记注册未满3年（2015年3月1日后注册），且获机构或个人股权投资2轮次以上。参赛申报人须为企业法人代表，须为普通高等学校在校生（可为本专科生、研究生，不含在职生），或毕业5年以内的毕业生（2013年之后毕业的本专科生、研究生，不含在职生）。企业法人在大赛通知发布之日后进行变更的不予认可。</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lastRenderedPageBreak/>
        <w:t xml:space="preserve">　　4.就业型创业组。参赛项目能有效提升大学生就业数量与就业质量，主要面向高职高专院校的创新创业项目（高职高专院校也可申报其他符合条件的组别），其他高校也可申报本组。若参赛项目在2018年5月31日前尚未完成工商登记注册，参赛申报人须为团队负责人，须为普通高等学校在校生（可为本专科生、研究生，不含在职生）。若参赛项目在2018年5月31日前已完成工商登记注册，参赛申报人须为企业法人代表，须为普通高等学校在校生（可为本专科生、研究生，不含在职生），或毕业5年以内的毕业生（2013年之后毕业的本专科生、研究生，不含在职生）。企业法人在大赛通知发布之日后进行变更的不予认可。</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以团队为单位报名参赛。允许跨校组建团队，每个团队的参赛成员不少于3人，须为项目的实际成员。参赛团队所报参赛创业项目，须为本团队策划或经营的项目，不可借用他人项目参赛。已获往届中国“互联网+”大学生创新创业大赛全国总决赛金奖和银奖的项目，不再报名参赛。</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初创组、成长组、就业型创业组已完成工商登记注册参赛项目的股权结构中，参赛成员合计不得少于1/3。</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高校教师科技成果转化的师生共创项目不能参加创意组，允许将拥有科研成果的教师的股权合并计算，合并计算的股权不得少于50%（其中参赛成员合计不得少于15%）。</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各省、自治区、直辖市教育厅（教委），新疆生产建设兵团教育局，各高等学校负责审核参赛对象资格。</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w:t>
      </w:r>
      <w:r w:rsidRPr="00B37C43">
        <w:rPr>
          <w:rFonts w:ascii="微软雅黑" w:eastAsia="微软雅黑" w:hAnsi="微软雅黑" w:cs="Times New Roman" w:hint="eastAsia"/>
          <w:b/>
          <w:bCs/>
          <w:color w:val="4B4B4B"/>
          <w:kern w:val="0"/>
          <w:sz w:val="24"/>
          <w:szCs w:val="24"/>
        </w:rPr>
        <w:t>七、“青年红色筑梦之旅”赛道</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lastRenderedPageBreak/>
        <w:t xml:space="preserve">　　增设“青年红色筑梦之旅”赛道，参加此赛道的项目须为参加“青年红色筑梦之旅”活动的项目。各省（区、市）教育厅（教委）、各高校要组织大学生创新创业团队到各自对接的县、乡、村和农户，从质量兴农、绿色兴农、科技兴农、电商兴农、教育兴农等多个方面开展帮扶工作，推动当地社会经济建设，助力精准扶贫和乡村振兴。</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参加“青年红色筑梦之旅”活动的项目可自主选择参加主赛道或“青年红色筑梦之旅”赛道比赛，但只能选择参加一个赛道。</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w:t>
      </w:r>
      <w:r w:rsidRPr="00B37C43">
        <w:rPr>
          <w:rFonts w:ascii="微软雅黑" w:eastAsia="微软雅黑" w:hAnsi="微软雅黑" w:cs="Times New Roman" w:hint="eastAsia"/>
          <w:b/>
          <w:bCs/>
          <w:color w:val="4B4B4B"/>
          <w:kern w:val="0"/>
          <w:sz w:val="24"/>
          <w:szCs w:val="24"/>
        </w:rPr>
        <w:t>八、国际赛道</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打造大赛国际平台，提升大赛全球影响力。由国际赛道专家组会同全球大学生创新创业联盟（筹）择优遴选推荐项目。鼓励各高校推荐国外友好合作高校的项目参赛，鼓励各高校推荐海外校友会作为国际赛道合作渠道。</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w:t>
      </w:r>
      <w:r w:rsidRPr="00B37C43">
        <w:rPr>
          <w:rFonts w:ascii="微软雅黑" w:eastAsia="微软雅黑" w:hAnsi="微软雅黑" w:cs="Times New Roman" w:hint="eastAsia"/>
          <w:b/>
          <w:bCs/>
          <w:color w:val="4B4B4B"/>
          <w:kern w:val="0"/>
          <w:sz w:val="24"/>
          <w:szCs w:val="24"/>
        </w:rPr>
        <w:t>九、比赛赛制</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大赛采用校级初赛、省级复赛、全国总决赛三级赛制。校级初赛由各高校负责组织，省级复赛由各省（区、市）负责组织，全国总决赛由各省（区、市）按照大赛组委会确定的配额择优遴选推荐项目。大赛组委会将综合考虑各省（区、市）报名团队数、参赛高校数和创新创业教育工作情况等因素分配全国总决赛名额。每所高校入选全国总决赛团队总数不超过4个。</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全国共产生600个项目入围全国总决赛主赛道，通过网上评审，产生150个项目进入全国总决赛现场比赛。港澳台地区参赛名额单列，通过网上评审，产生20个项目进入总决赛现场比赛。全国共产生200个项目入围全国总决赛“青年红色筑梦之旅”赛道，通过网上评审，产生40个项目进入全国总决赛现场比赛。国际赛道产生30-60个项目进入全国总决赛现场比赛。</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lastRenderedPageBreak/>
        <w:t xml:space="preserve">　　</w:t>
      </w:r>
      <w:r w:rsidRPr="00B37C43">
        <w:rPr>
          <w:rFonts w:ascii="微软雅黑" w:eastAsia="微软雅黑" w:hAnsi="微软雅黑" w:cs="Times New Roman" w:hint="eastAsia"/>
          <w:b/>
          <w:bCs/>
          <w:color w:val="4B4B4B"/>
          <w:kern w:val="0"/>
          <w:sz w:val="24"/>
          <w:szCs w:val="24"/>
        </w:rPr>
        <w:t>十、赛程安排</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1.参赛报名（3-5月）。参赛团队可通过登录“全国大学生创业服务网”（cy.ncss.cn）或微信公众号（名称为“全国大学生创业服务网”或“中国‘互联网+’大学生创新创业大赛”）任一方式进行报名。报名系统开放时间为2018年3月28日，截止时间由各省（区、市）根据复赛安排自行决定，但不得晚于8月31日。</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2.初赛复赛（6-9月）。各省（区、市）各高校登录cy.ncss.cn/gl/login进行报名信息的查看和管理。省级管理用户使用大赛组委会统一分配的账号进行登录，校级账号由各省级管理用户进行管理。初赛复赛的比赛环节、评审方式等由各高校、各省（区、市）自行决定。各省（区、市）在9月15日前完成省级复赛，遴选参加全国总决赛的候选项目（推荐项目应有名次排序，供全国总决赛参考）。</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3.全国总决赛（10月中下旬）。大赛评审委员会对入围全国总决赛项目进行网上评审，择优选拔项目进行现场比赛，决出金、银、铜奖。</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大赛组委会将通过“全国大学生创业服务网”为参赛团队提供项目展示、创业指导、投资对接等服务。各项目团队可以登录“全国大学生创业服务网”查看相关信息。各省（区、市）可以利用网站提供的资源，为参赛团队做好服务。各高校还可以通过腾讯微校（weixiao.qq.com/shuangchuang）进行赛事宣传，腾讯云根据参赛团队的组别提供不同级别的免费云服务支持，给予项目激励和孵化指导。</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w:t>
      </w:r>
      <w:r w:rsidRPr="00B37C43">
        <w:rPr>
          <w:rFonts w:ascii="微软雅黑" w:eastAsia="微软雅黑" w:hAnsi="微软雅黑" w:cs="Times New Roman" w:hint="eastAsia"/>
          <w:b/>
          <w:bCs/>
          <w:color w:val="4B4B4B"/>
          <w:kern w:val="0"/>
          <w:sz w:val="24"/>
          <w:szCs w:val="24"/>
        </w:rPr>
        <w:t>十一、评审规则</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请登录“全国大学生创业服务网”（cy.ncss.cn）查看具体内容。</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lastRenderedPageBreak/>
        <w:t xml:space="preserve">　　</w:t>
      </w:r>
      <w:r w:rsidRPr="00B37C43">
        <w:rPr>
          <w:rFonts w:ascii="微软雅黑" w:eastAsia="微软雅黑" w:hAnsi="微软雅黑" w:cs="Times New Roman" w:hint="eastAsia"/>
          <w:b/>
          <w:bCs/>
          <w:color w:val="4B4B4B"/>
          <w:kern w:val="0"/>
          <w:sz w:val="24"/>
          <w:szCs w:val="24"/>
        </w:rPr>
        <w:t>十二、大赛奖项</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大赛主赛道设金奖50个、银奖100个、铜奖450个。另设港澳台项目金奖5个、银奖15个、铜奖另定；国际赛道金奖15个、银奖和铜奖另定。设最佳创意奖、最具商业价值奖、最佳带动就业奖、最具人气奖各1个。获奖项目颁发获奖证书，提供投融资对接、落地孵化等服务。</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设“青年红色筑梦之旅”赛道金奖10个、银奖30个、铜奖160个。设“乡村振兴奖”“精准扶贫奖”等单项奖若干，奖励对农村地区教育、科技、农业、医疗、扶贫等方面有突出贡献的项目。</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设高校集体奖20个、省市优秀组织奖10个和优秀创新创业导师若干名。设“青年红色筑梦之旅”高校集体奖20个、省市优秀组织奖8个和优秀创新创业导师若干名。获奖单位颁发获奖证书及奖牌。</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w:t>
      </w:r>
      <w:r w:rsidRPr="00B37C43">
        <w:rPr>
          <w:rFonts w:ascii="微软雅黑" w:eastAsia="微软雅黑" w:hAnsi="微软雅黑" w:cs="Times New Roman" w:hint="eastAsia"/>
          <w:b/>
          <w:bCs/>
          <w:color w:val="4B4B4B"/>
          <w:kern w:val="0"/>
          <w:sz w:val="24"/>
          <w:szCs w:val="24"/>
        </w:rPr>
        <w:t>十三、宣传发动</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各地各高校要认真做好大赛的宣传动员和组织工作。各省（区、市）教育行政部门要组织做好省内比赛和项目推荐工作。各高校要认真组织动员团队参赛，为在校生和毕业生参与竞赛提供必要的条件和支持，做好学校初赛组织工作。鼓励教师将科技成果产业化，带领学生创新创业。同时，坚持以赛促教、以赛促学、以赛促创，积极推进高校学生创新创业训练和实践，不断提高创新创业人才培养水平，厚植“大众创业、万众创新”土壤，助力“双创”升级，为建设创新型国家提供源源不断的人才智力支撑。</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w:t>
      </w:r>
      <w:r w:rsidRPr="00B37C43">
        <w:rPr>
          <w:rFonts w:ascii="微软雅黑" w:eastAsia="微软雅黑" w:hAnsi="微软雅黑" w:cs="Times New Roman" w:hint="eastAsia"/>
          <w:b/>
          <w:bCs/>
          <w:color w:val="4B4B4B"/>
          <w:kern w:val="0"/>
          <w:sz w:val="24"/>
          <w:szCs w:val="24"/>
        </w:rPr>
        <w:t>十四、大赛组委会联系方式</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1.大赛工作QQ群：460798492，请每个参赛省（区、市）指定两名工作人员加入该群，便于赛事工作沟通及交流。</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lastRenderedPageBreak/>
        <w:t xml:space="preserve">　　2.大赛组委会联系人：</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全国高等学校学生信息咨询与就业指导中心 窦慧姣</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联系电话：010-62111870，传真：010-62111780</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电子邮箱：dhj1211@moe.edu.cn</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地址：北京市海淀区北三环西路甲18号大钟寺中坤广场</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邮编：100098</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厦门大学 张晴</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联系电话：0592-2182276，传真：0592-2186206</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电子邮箱：hlwjds2018@xmu.edu.cn</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地址：福建省厦门市思明南路422号</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邮编：361005</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教育部高等教育司理工处　杨皓麟 徐家庆</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联系电话：010-66096262，传真：010-66020758</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电子邮箱：yanghaolin@moe.edu.cn</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地址：北京市西城区大木仓胡同37号</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邮编：100816</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附件：第四届中国“互联网+”大学生创新创业大赛“青年红色筑梦之旅”活动方案</w:t>
      </w:r>
    </w:p>
    <w:p w:rsidR="00B37C43" w:rsidRPr="00B37C43" w:rsidRDefault="00B37C43" w:rsidP="00B37C43">
      <w:pPr>
        <w:widowControl/>
        <w:spacing w:line="480" w:lineRule="atLeast"/>
        <w:jc w:val="righ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教育部</w:t>
      </w:r>
    </w:p>
    <w:p w:rsidR="00B37C43" w:rsidRPr="00B37C43" w:rsidRDefault="00B37C43" w:rsidP="00B37C43">
      <w:pPr>
        <w:widowControl/>
        <w:spacing w:line="480" w:lineRule="atLeast"/>
        <w:jc w:val="righ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2018年3月8日</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b/>
          <w:bCs/>
          <w:color w:val="4B4B4B"/>
          <w:kern w:val="0"/>
          <w:sz w:val="24"/>
          <w:szCs w:val="24"/>
        </w:rPr>
        <w:lastRenderedPageBreak/>
        <w:t>附件</w:t>
      </w:r>
    </w:p>
    <w:p w:rsidR="00B37C43" w:rsidRPr="00B37C43" w:rsidRDefault="00B37C43" w:rsidP="00B37C43">
      <w:pPr>
        <w:widowControl/>
        <w:spacing w:line="480" w:lineRule="atLeast"/>
        <w:jc w:val="center"/>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b/>
          <w:bCs/>
          <w:color w:val="4B4B4B"/>
          <w:kern w:val="0"/>
          <w:sz w:val="24"/>
          <w:szCs w:val="24"/>
        </w:rPr>
        <w:t>第四届中国“互联网+”大学生创新创业大赛</w:t>
      </w:r>
    </w:p>
    <w:p w:rsidR="00B37C43" w:rsidRPr="00B37C43" w:rsidRDefault="00B37C43" w:rsidP="00B37C43">
      <w:pPr>
        <w:widowControl/>
        <w:spacing w:line="480" w:lineRule="atLeast"/>
        <w:jc w:val="center"/>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b/>
          <w:bCs/>
          <w:color w:val="4B4B4B"/>
          <w:kern w:val="0"/>
          <w:sz w:val="24"/>
          <w:szCs w:val="24"/>
        </w:rPr>
        <w:t>“青年红色筑梦之旅”活动方案</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为学习贯彻习近平新时代中国特色社会主义思想和党的十九大精神，深入落实习近平总书记给第三届中国“互联网+”大学生创新创业大赛“青年红色筑梦之旅”大学生重要回信精神，教育部决定广泛实施“青年红色筑梦之旅”活动，引导更多青年学生扎根中国大地了解国情民情，在创新创业中增长智慧才干，在艰苦奋斗中锤炼意志品质，为中华民族伟大复兴的中国梦培养有理想、有本领、有担当的热血青春力量。活动方案如下：</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w:t>
      </w:r>
      <w:r w:rsidRPr="00B37C43">
        <w:rPr>
          <w:rFonts w:ascii="微软雅黑" w:eastAsia="微软雅黑" w:hAnsi="微软雅黑" w:cs="Times New Roman" w:hint="eastAsia"/>
          <w:b/>
          <w:bCs/>
          <w:color w:val="4B4B4B"/>
          <w:kern w:val="0"/>
          <w:sz w:val="24"/>
          <w:szCs w:val="24"/>
        </w:rPr>
        <w:t>一、活动主题</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红色筑梦点亮人生 青春领航振兴中华</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w:t>
      </w:r>
      <w:r w:rsidRPr="00B37C43">
        <w:rPr>
          <w:rFonts w:ascii="微软雅黑" w:eastAsia="微软雅黑" w:hAnsi="微软雅黑" w:cs="Times New Roman" w:hint="eastAsia"/>
          <w:b/>
          <w:bCs/>
          <w:color w:val="4B4B4B"/>
          <w:kern w:val="0"/>
          <w:sz w:val="24"/>
          <w:szCs w:val="24"/>
        </w:rPr>
        <w:t>二、主要目标</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全面贯彻落实习近平总书记回信精神，在更大范围、更高层次、更深程度上开展“青年红色筑梦之旅”活动，鼓励青年用创新创业成果服务乡村振兴战略、助力精准扶贫；推动创新创业教育与思想政治教育相融合，打造中国最大的思政课堂，引导青年走进革命老区、贫困地区，接受思想洗礼、学习革命精神、传承红色基因，重温革命前辈伟大而艰辛的创业史，走好新时代青年的新长征路，为中国特色社会主义事业培养更多全面发展的合格建设者和可靠接班人。</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w:t>
      </w:r>
      <w:r w:rsidRPr="00B37C43">
        <w:rPr>
          <w:rFonts w:ascii="微软雅黑" w:eastAsia="微软雅黑" w:hAnsi="微软雅黑" w:cs="Times New Roman" w:hint="eastAsia"/>
          <w:b/>
          <w:bCs/>
          <w:color w:val="4B4B4B"/>
          <w:kern w:val="0"/>
          <w:sz w:val="24"/>
          <w:szCs w:val="24"/>
        </w:rPr>
        <w:t>三、活动安排</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1.制定方案（2018年3月）</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各省（区、市）教育厅（教委）要制定本地“青年红色筑梦之旅”活动方案。以调研为基础，主动联系当地政府农业和扶贫工作有关部门，摸清乡村振兴和精</w:t>
      </w:r>
      <w:r w:rsidRPr="00B37C43">
        <w:rPr>
          <w:rFonts w:ascii="微软雅黑" w:eastAsia="微软雅黑" w:hAnsi="微软雅黑" w:cs="Times New Roman" w:hint="eastAsia"/>
          <w:color w:val="4B4B4B"/>
          <w:kern w:val="0"/>
          <w:sz w:val="24"/>
          <w:szCs w:val="24"/>
        </w:rPr>
        <w:lastRenderedPageBreak/>
        <w:t>准扶贫脱贫需求，组织各高校做好学校现有扶贫对接地区及项目、涉农大学生创新创业团队和科技成果转化项目、应届毕业生返乡创业等情况摸底统计。制定本地详细活动方案，明确活动时间安排、地点、规模、活动形式、支持条件等内容，并于3月23日前报送大赛组委会（邮箱：yanghaolin@moe.edu.cn）。</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2.启动仪式（2018年3-5月）</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大赛组委会将于3月底在福建古田举办“青年红色筑梦之旅”活动全国启动仪式。由各省（区、市）教育厅（教委）推荐3-10个项目参加启动仪式，并于3月16日-21日完成启动仪式报名（网址：http://dc.ncss.cn/answer/red）。详细活动安排另行通知。</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启动仪式后，还将选择在部分革命老区、贫困地区组织全国性项目对接活动，有意向承办全国性对接活动的省（区、市）可在活动计划日期一个月前向大赛组委会提出申请。</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3.活动报名（2018年3-8月）</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各省（区、市）教育厅（教委）要积极挖掘本省优质创新创业项目参与活动，并组织团队登录全国大学生创业服务网进行报名（网址：http://cy.ncss.cn），报名系统开放时间为3月28日至8月31日。</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4.组织实施（2018年3-9月）</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各省（区、市）教育厅（教委）负责组织本地的“青年红色筑梦之旅”活动，做好需求对接、培训、宣传等工作。组织理工、农林、医学、师范、法律、人文社科等各专业大学生以及企业家、投资人等，以“科技中国小分队”“幸福中国小分队”“健康中国小分队”“教育中国小分队”“法治中国小分队”“十九大宣讲小分队”或项目团队组团等形式，走进革命老区、贫困地区，接受思想洗礼、</w:t>
      </w:r>
      <w:r w:rsidRPr="00B37C43">
        <w:rPr>
          <w:rFonts w:ascii="微软雅黑" w:eastAsia="微软雅黑" w:hAnsi="微软雅黑" w:cs="Times New Roman" w:hint="eastAsia"/>
          <w:color w:val="4B4B4B"/>
          <w:kern w:val="0"/>
          <w:sz w:val="24"/>
          <w:szCs w:val="24"/>
        </w:rPr>
        <w:lastRenderedPageBreak/>
        <w:t>学习革命精神、传承红色基因，将高校的智力、技术和项目资源辐射到广大农村地区。组织团队到各自对接的县、乡、村和农户，从质量兴农、绿色兴农、科技兴农、电商兴农、教育兴农等多个方面开展帮扶工作，推动当地社会经济建设，助力精准扶贫和乡村振兴。</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高校要通过大学生创新创业训练计划项目、创新创业专项经费、师生共创、校地协同等多种形式，努力实现项目长期对接，并推出一批帮扶品牌项目和帮扶示范区，发挥辐射带动作用。要积极争取相关部门、地方政府、社会企业、投资机构等各方支持，通过政策倾斜、项目立项、设立公益基金等方式为活动提供保障。</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5.总结表彰（2018年9-10月）</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各地各高校要及时做好经验总结和成果宣传，选树优秀典型，举办优秀团队先进事迹报告会。组委会将在全国总决赛期间举办“青年红色筑梦之旅”成果展。</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参加“青年红色筑梦之旅”活动的项目，符合大赛参赛要求的可自主选择参加大赛“青年红色筑梦之旅”赛道或主赛道比赛（只能选择参加一个赛道）。“青年红色筑梦之旅”赛道单列奖项、单独设置评审指标，突出项目的社会贡献和公益价值。</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设“青年红色筑梦之旅”赛道金奖10个、银奖30个、铜奖160个。设“乡村振兴奖”“精准扶贫奖”等单项奖若干，奖励对农村地区教育、科技、农业、医疗、扶贫等方面有突出贡献的项目。设“青年红色筑梦之旅”高校集体奖20个、省市优秀组织奖8个和优秀创新创业导师若干名。</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w:t>
      </w:r>
      <w:r w:rsidRPr="00B37C43">
        <w:rPr>
          <w:rFonts w:ascii="微软雅黑" w:eastAsia="微软雅黑" w:hAnsi="微软雅黑" w:cs="Times New Roman" w:hint="eastAsia"/>
          <w:b/>
          <w:bCs/>
          <w:color w:val="4B4B4B"/>
          <w:kern w:val="0"/>
          <w:sz w:val="24"/>
          <w:szCs w:val="24"/>
        </w:rPr>
        <w:t xml:space="preserve">　四、项目要求</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lastRenderedPageBreak/>
        <w:t xml:space="preserve">　　参与“青年红色筑梦之旅”的项目须为青年创新创业项目，在推进革命老区、贫困地区经济社会发展等方面有创新性、推广性和实效性。参与对象须为普通高等学校在校生（可为本专科生、研究生，不含在职生），或毕业5年以内的毕业生（2013年之后毕业的本专科生、研究生，不含在职生）。须以团队为单位报名参加活动，允许跨校组建团队，每个团队的成员不少于3人。</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项目来源包括：</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1.大赛参赛项目。中国“互联网+”大学生创新创业大赛参赛项目可自主报名参加“青年红色筑梦之旅”活动。</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2.大学生创新创业训练计划项目。鼓励与乡村振兴、扶贫脱贫相关的国家级、省级、校级大学生创新创业训练计划项目参加活动。</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3.其他参与项目。邀请历届大赛获奖项目、符合当地需求的社会项目参加活动。</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w:t>
      </w:r>
      <w:r w:rsidRPr="00B37C43">
        <w:rPr>
          <w:rFonts w:ascii="微软雅黑" w:eastAsia="微软雅黑" w:hAnsi="微软雅黑" w:cs="Times New Roman" w:hint="eastAsia"/>
          <w:b/>
          <w:bCs/>
          <w:color w:val="4B4B4B"/>
          <w:kern w:val="0"/>
          <w:sz w:val="24"/>
          <w:szCs w:val="24"/>
        </w:rPr>
        <w:t>五、工作要求</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1.高度重视、精心组织。各省（区、市）教育厅（教委）要高度重视，成立专项工作组，推动形成政府、企业、社会联动共推的机制，确保各项工作落到实处。</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2.统筹资源、加强保障。各省（区、市）教育厅（教委）要主动协调本地区扶贫办和扶贫组织，制定针对创业帮扶团队的优惠政策，整合对方资源,对活动予以支持。大赛组委会成立“青年红色筑梦之旅”奖励基金，对实施效果突出的项目给予支持。</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3.广泛宣传、营造氛围。各省（区、市）教育厅（教委）要认真做好活动的宣传工作，通过集中启动、媒体传播，线上线下共同发力，提升活动的社会影响</w:t>
      </w:r>
      <w:r w:rsidRPr="00B37C43">
        <w:rPr>
          <w:rFonts w:ascii="微软雅黑" w:eastAsia="微软雅黑" w:hAnsi="微软雅黑" w:cs="Times New Roman" w:hint="eastAsia"/>
          <w:color w:val="4B4B4B"/>
          <w:kern w:val="0"/>
          <w:sz w:val="24"/>
          <w:szCs w:val="24"/>
        </w:rPr>
        <w:lastRenderedPageBreak/>
        <w:t>力。大赛组委会拟拍摄《青年筑梦》专题记录片，全面展示各地各高校青年大学生参与活动的生动实践和良好精神风貌。</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w:t>
      </w:r>
      <w:r w:rsidRPr="00B37C43">
        <w:rPr>
          <w:rFonts w:ascii="微软雅黑" w:eastAsia="微软雅黑" w:hAnsi="微软雅黑" w:cs="Times New Roman" w:hint="eastAsia"/>
          <w:b/>
          <w:bCs/>
          <w:color w:val="4B4B4B"/>
          <w:kern w:val="0"/>
          <w:sz w:val="24"/>
          <w:szCs w:val="24"/>
        </w:rPr>
        <w:t>六、联系人</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教育部高等教育司理工处　杨皓麟 徐家庆</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联系电话：010-66096262，传真：010-66020758</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电子邮箱：yanghaolin@moe.edu.cn</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地址：北京市西城区大木仓胡同37号</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邮编：100816</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厦门大学 洪海松</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联系电话：0592-2186669,传真：0592-2186206</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电子邮箱：qnhszmzl2018@xmu.edu.cn</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地址：福建省厦门市思明南路422号</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邮编：361005　</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全国高等学校学生信息咨询与就业指导中心 窦慧姣</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联系电话：010-62111870，传真：010-62111780</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电子邮箱：dhj1211@moe.edu.cn</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地址：北京市海淀区北三环西路甲18号大钟寺中坤广场</w:t>
      </w:r>
    </w:p>
    <w:p w:rsidR="00B37C43" w:rsidRPr="00B37C43" w:rsidRDefault="00B37C43" w:rsidP="00B37C43">
      <w:pPr>
        <w:widowControl/>
        <w:spacing w:line="480" w:lineRule="atLeast"/>
        <w:jc w:val="left"/>
        <w:rPr>
          <w:rFonts w:ascii="微软雅黑" w:eastAsia="微软雅黑" w:hAnsi="微软雅黑" w:cs="Times New Roman" w:hint="eastAsia"/>
          <w:color w:val="4B4B4B"/>
          <w:kern w:val="0"/>
          <w:sz w:val="24"/>
          <w:szCs w:val="24"/>
        </w:rPr>
      </w:pPr>
      <w:r w:rsidRPr="00B37C43">
        <w:rPr>
          <w:rFonts w:ascii="微软雅黑" w:eastAsia="微软雅黑" w:hAnsi="微软雅黑" w:cs="Times New Roman" w:hint="eastAsia"/>
          <w:color w:val="4B4B4B"/>
          <w:kern w:val="0"/>
          <w:sz w:val="24"/>
          <w:szCs w:val="24"/>
        </w:rPr>
        <w:t xml:space="preserve">　　邮编：100098</w:t>
      </w:r>
    </w:p>
    <w:p w:rsidR="00B37C43" w:rsidRPr="00B37C43" w:rsidRDefault="00B37C43" w:rsidP="00B37C43">
      <w:pPr>
        <w:widowControl/>
        <w:jc w:val="center"/>
        <w:rPr>
          <w:rFonts w:ascii="微软雅黑" w:eastAsia="微软雅黑" w:hAnsi="微软雅黑" w:cs="Times New Roman" w:hint="eastAsia"/>
          <w:color w:val="4B4B4B"/>
          <w:kern w:val="0"/>
          <w:sz w:val="27"/>
          <w:szCs w:val="27"/>
        </w:rPr>
      </w:pPr>
    </w:p>
    <w:p w:rsidR="001B7AE7" w:rsidRDefault="001B7AE7"/>
    <w:sectPr w:rsidR="001B7A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AE7" w:rsidRDefault="001B7AE7" w:rsidP="00B37C43">
      <w:r>
        <w:separator/>
      </w:r>
    </w:p>
  </w:endnote>
  <w:endnote w:type="continuationSeparator" w:id="1">
    <w:p w:rsidR="001B7AE7" w:rsidRDefault="001B7AE7" w:rsidP="00B37C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AE7" w:rsidRDefault="001B7AE7" w:rsidP="00B37C43">
      <w:r>
        <w:separator/>
      </w:r>
    </w:p>
  </w:footnote>
  <w:footnote w:type="continuationSeparator" w:id="1">
    <w:p w:rsidR="001B7AE7" w:rsidRDefault="001B7AE7" w:rsidP="00B37C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7C43"/>
    <w:rsid w:val="001B7AE7"/>
    <w:rsid w:val="00B37C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37C4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7C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37C43"/>
    <w:rPr>
      <w:sz w:val="18"/>
      <w:szCs w:val="18"/>
    </w:rPr>
  </w:style>
  <w:style w:type="paragraph" w:styleId="a4">
    <w:name w:val="footer"/>
    <w:basedOn w:val="a"/>
    <w:link w:val="Char0"/>
    <w:uiPriority w:val="99"/>
    <w:semiHidden/>
    <w:unhideWhenUsed/>
    <w:rsid w:val="00B37C4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37C43"/>
    <w:rPr>
      <w:sz w:val="18"/>
      <w:szCs w:val="18"/>
    </w:rPr>
  </w:style>
  <w:style w:type="character" w:customStyle="1" w:styleId="1Char">
    <w:name w:val="标题 1 Char"/>
    <w:basedOn w:val="a0"/>
    <w:link w:val="1"/>
    <w:uiPriority w:val="9"/>
    <w:rsid w:val="00B37C43"/>
    <w:rPr>
      <w:rFonts w:ascii="宋体" w:eastAsia="宋体" w:hAnsi="宋体" w:cs="宋体"/>
      <w:b/>
      <w:bCs/>
      <w:kern w:val="36"/>
      <w:sz w:val="48"/>
      <w:szCs w:val="48"/>
    </w:rPr>
  </w:style>
  <w:style w:type="paragraph" w:styleId="a5">
    <w:name w:val="Normal (Web)"/>
    <w:basedOn w:val="a"/>
    <w:uiPriority w:val="99"/>
    <w:semiHidden/>
    <w:unhideWhenUsed/>
    <w:rsid w:val="00B37C4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37C43"/>
    <w:rPr>
      <w:b/>
      <w:bCs/>
    </w:rPr>
  </w:style>
</w:styles>
</file>

<file path=word/webSettings.xml><?xml version="1.0" encoding="utf-8"?>
<w:webSettings xmlns:r="http://schemas.openxmlformats.org/officeDocument/2006/relationships" xmlns:w="http://schemas.openxmlformats.org/wordprocessingml/2006/main">
  <w:divs>
    <w:div w:id="1840465367">
      <w:bodyDiv w:val="1"/>
      <w:marLeft w:val="0"/>
      <w:marRight w:val="0"/>
      <w:marTop w:val="0"/>
      <w:marBottom w:val="0"/>
      <w:divBdr>
        <w:top w:val="none" w:sz="0" w:space="0" w:color="auto"/>
        <w:left w:val="none" w:sz="0" w:space="0" w:color="auto"/>
        <w:bottom w:val="none" w:sz="0" w:space="0" w:color="auto"/>
        <w:right w:val="none" w:sz="0" w:space="0" w:color="auto"/>
      </w:divBdr>
      <w:divsChild>
        <w:div w:id="103615034">
          <w:marLeft w:val="0"/>
          <w:marRight w:val="0"/>
          <w:marTop w:val="0"/>
          <w:marBottom w:val="0"/>
          <w:divBdr>
            <w:top w:val="none" w:sz="0" w:space="0" w:color="auto"/>
            <w:left w:val="none" w:sz="0" w:space="0" w:color="auto"/>
            <w:bottom w:val="none" w:sz="0" w:space="0" w:color="auto"/>
            <w:right w:val="none" w:sz="0" w:space="0" w:color="auto"/>
          </w:divBdr>
          <w:divsChild>
            <w:div w:id="12176956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1500</Words>
  <Characters>8553</Characters>
  <Application>Microsoft Office Word</Application>
  <DocSecurity>0</DocSecurity>
  <Lines>71</Lines>
  <Paragraphs>20</Paragraphs>
  <ScaleCrop>false</ScaleCrop>
  <Company>微软中国</Company>
  <LinksUpToDate>false</LinksUpToDate>
  <CharactersWithSpaces>10033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2018-03-14T01:38:00Z</dcterms:created>
  <dcterms:modified xsi:type="dcterms:W3CDTF">2018-03-14T01:38:00Z</dcterms:modified>
</cp:coreProperties>
</file>