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4"/>
        <w:tblpPr w:leftFromText="180" w:rightFromText="180" w:vertAnchor="page" w:horzAnchor="margin" w:tblpXSpec="center" w:tblpY="1765"/>
        <w:tblW w:w="15237" w:type="dxa"/>
        <w:tblInd w:w="0" w:type="dxa"/>
        <w:tblLayout w:type="fixed"/>
        <w:tblCellMar>
          <w:top w:w="0" w:type="dxa"/>
          <w:left w:w="108" w:type="dxa"/>
          <w:bottom w:w="0" w:type="dxa"/>
          <w:right w:w="108" w:type="dxa"/>
        </w:tblCellMar>
      </w:tblPr>
      <w:tblGrid>
        <w:gridCol w:w="427"/>
        <w:gridCol w:w="1808"/>
        <w:gridCol w:w="1980"/>
        <w:gridCol w:w="1134"/>
        <w:gridCol w:w="2801"/>
        <w:gridCol w:w="1525"/>
        <w:gridCol w:w="3333"/>
        <w:gridCol w:w="1203"/>
        <w:gridCol w:w="1026"/>
      </w:tblGrid>
      <w:tr>
        <w:tblPrEx>
          <w:tblLayout w:type="fixed"/>
          <w:tblCellMar>
            <w:top w:w="0" w:type="dxa"/>
            <w:left w:w="108" w:type="dxa"/>
            <w:bottom w:w="0" w:type="dxa"/>
            <w:right w:w="108" w:type="dxa"/>
          </w:tblCellMar>
        </w:tblPrEx>
        <w:trPr>
          <w:trHeight w:val="464" w:hRule="atLeast"/>
        </w:trPr>
        <w:tc>
          <w:tcPr>
            <w:tcW w:w="15237" w:type="dxa"/>
            <w:gridSpan w:val="9"/>
            <w:tcBorders>
              <w:bottom w:val="single" w:color="auto" w:sz="4" w:space="0"/>
            </w:tcBorders>
            <w:shd w:val="clear" w:color="auto" w:fill="auto"/>
            <w:vAlign w:val="center"/>
          </w:tcPr>
          <w:p>
            <w:pPr>
              <w:widowControl/>
              <w:spacing w:line="220" w:lineRule="exact"/>
              <w:jc w:val="left"/>
              <w:rPr>
                <w:rFonts w:ascii="黑体" w:hAnsi="黑体" w:eastAsia="黑体" w:cs="宋体"/>
                <w:b/>
                <w:color w:val="000000"/>
                <w:kern w:val="0"/>
                <w:szCs w:val="21"/>
              </w:rPr>
            </w:pPr>
            <w:r>
              <w:rPr>
                <w:rFonts w:hint="eastAsia" w:ascii="仿宋_GB2312" w:hAnsi="黑体" w:eastAsia="仿宋_GB2312" w:cs="宋体"/>
                <w:color w:val="000000"/>
                <w:kern w:val="0"/>
                <w:szCs w:val="21"/>
              </w:rPr>
              <w:t>附件：</w:t>
            </w:r>
            <w:r>
              <w:rPr>
                <w:rFonts w:hint="eastAsia" w:ascii="仿宋_GB2312" w:hAnsi="黑体" w:eastAsia="仿宋_GB2312" w:cs="宋体"/>
                <w:b/>
                <w:color w:val="000000"/>
                <w:kern w:val="0"/>
                <w:szCs w:val="21"/>
              </w:rPr>
              <w:t xml:space="preserve">    </w:t>
            </w:r>
            <w:r>
              <w:rPr>
                <w:rFonts w:hint="eastAsia" w:ascii="黑体" w:hAnsi="黑体" w:eastAsia="黑体" w:cs="宋体"/>
                <w:b/>
                <w:color w:val="000000"/>
                <w:kern w:val="0"/>
                <w:szCs w:val="21"/>
              </w:rPr>
              <w:t xml:space="preserve">                                       </w:t>
            </w:r>
            <w:bookmarkStart w:id="0" w:name="_GoBack"/>
            <w:r>
              <w:rPr>
                <w:rFonts w:hint="eastAsia" w:ascii="黑体" w:hAnsi="黑体" w:eastAsia="黑体" w:cs="宋体"/>
                <w:b/>
                <w:color w:val="000000"/>
                <w:kern w:val="0"/>
                <w:szCs w:val="21"/>
              </w:rPr>
              <w:t>浙江科技学院2015-2016学年学生交流项目列表</w:t>
            </w:r>
            <w:bookmarkEnd w:id="0"/>
          </w:p>
        </w:tc>
      </w:tr>
      <w:tr>
        <w:tblPrEx>
          <w:tblLayout w:type="fixed"/>
          <w:tblCellMar>
            <w:top w:w="0" w:type="dxa"/>
            <w:left w:w="108" w:type="dxa"/>
            <w:bottom w:w="0" w:type="dxa"/>
            <w:right w:w="108" w:type="dxa"/>
          </w:tblCellMar>
        </w:tblPrEx>
        <w:trPr>
          <w:trHeight w:val="464"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序号</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项目名称</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cs="宋体"/>
                <w:b/>
                <w:color w:val="000000"/>
                <w:kern w:val="0"/>
                <w:szCs w:val="21"/>
              </w:rPr>
            </w:pPr>
            <w:r>
              <w:rPr>
                <w:rFonts w:hint="eastAsia" w:ascii="宋体" w:hAnsi="宋体" w:cs="宋体"/>
                <w:b/>
                <w:bCs/>
                <w:color w:val="000000"/>
                <w:kern w:val="0"/>
                <w:szCs w:val="21"/>
              </w:rPr>
              <w:t>选拔范围</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学习时间</w:t>
            </w:r>
          </w:p>
        </w:tc>
        <w:tc>
          <w:tcPr>
            <w:tcW w:w="2801" w:type="dxa"/>
            <w:tcBorders>
              <w:top w:val="single" w:color="auto" w:sz="4" w:space="0"/>
              <w:left w:val="nil"/>
              <w:bottom w:val="single" w:color="auto" w:sz="4" w:space="0"/>
              <w:right w:val="single" w:color="auto" w:sz="4" w:space="0"/>
            </w:tcBorders>
            <w:vAlign w:val="center"/>
          </w:tcPr>
          <w:p>
            <w:pPr>
              <w:widowControl/>
              <w:spacing w:line="220" w:lineRule="exact"/>
              <w:ind w:firstLine="211" w:firstLineChars="100"/>
              <w:rPr>
                <w:rFonts w:ascii="宋体" w:hAnsi="宋体" w:cs="宋体"/>
                <w:b/>
                <w:color w:val="000000"/>
                <w:kern w:val="0"/>
                <w:szCs w:val="21"/>
              </w:rPr>
            </w:pPr>
            <w:r>
              <w:rPr>
                <w:rFonts w:hint="eastAsia" w:ascii="宋体" w:hAnsi="宋体" w:cs="宋体"/>
                <w:b/>
                <w:color w:val="000000"/>
                <w:kern w:val="0"/>
                <w:szCs w:val="21"/>
              </w:rPr>
              <w:t>学习内容</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名额</w:t>
            </w:r>
          </w:p>
        </w:tc>
        <w:tc>
          <w:tcPr>
            <w:tcW w:w="333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语言要求</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项目费用</w:t>
            </w:r>
          </w:p>
        </w:tc>
        <w:tc>
          <w:tcPr>
            <w:tcW w:w="1026"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报名截止时间</w:t>
            </w:r>
          </w:p>
        </w:tc>
      </w:tr>
      <w:tr>
        <w:tblPrEx>
          <w:tblLayout w:type="fixed"/>
          <w:tblCellMar>
            <w:top w:w="0" w:type="dxa"/>
            <w:left w:w="108" w:type="dxa"/>
            <w:bottom w:w="0" w:type="dxa"/>
            <w:right w:w="108" w:type="dxa"/>
          </w:tblCellMar>
        </w:tblPrEx>
        <w:trPr>
          <w:trHeight w:val="875" w:hRule="atLeast"/>
        </w:trPr>
        <w:tc>
          <w:tcPr>
            <w:tcW w:w="427"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1808" w:type="dxa"/>
            <w:tcBorders>
              <w:top w:val="nil"/>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澳大利亚南昆士兰大学</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交换生项目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全日制在校本科生</w:t>
            </w:r>
          </w:p>
        </w:tc>
        <w:tc>
          <w:tcPr>
            <w:tcW w:w="1134"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2801"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USQ提供的所有本科生课程（工商和法律学院；文学院；教育学院；工程测量学院；理学院）</w:t>
            </w:r>
          </w:p>
        </w:tc>
        <w:tc>
          <w:tcPr>
            <w:tcW w:w="1525"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3名</w:t>
            </w:r>
          </w:p>
        </w:tc>
        <w:tc>
          <w:tcPr>
            <w:tcW w:w="333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雅思成绩6.0或相当水平</w:t>
            </w:r>
          </w:p>
        </w:tc>
        <w:tc>
          <w:tcPr>
            <w:tcW w:w="120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免学费和申请费</w:t>
            </w:r>
          </w:p>
        </w:tc>
        <w:tc>
          <w:tcPr>
            <w:tcW w:w="1026" w:type="dxa"/>
            <w:tcBorders>
              <w:top w:val="nil"/>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991"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罗马尼亚克鲁日巴比什-波雅依</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大学交换生项目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全日制在校本科生</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2801" w:type="dxa"/>
            <w:tcBorders>
              <w:top w:val="single" w:color="auto" w:sz="4" w:space="0"/>
              <w:left w:val="nil"/>
              <w:bottom w:val="single" w:color="auto" w:sz="4" w:space="0"/>
              <w:right w:val="single" w:color="auto" w:sz="4" w:space="0"/>
            </w:tcBorders>
          </w:tcPr>
          <w:p>
            <w:pPr>
              <w:widowControl/>
              <w:spacing w:line="220" w:lineRule="exact"/>
              <w:jc w:val="left"/>
              <w:rPr>
                <w:szCs w:val="21"/>
              </w:rPr>
            </w:pPr>
            <w:r>
              <w:rPr>
                <w:rFonts w:hint="eastAsia"/>
                <w:szCs w:val="21"/>
              </w:rPr>
              <w:t>该校计算机学院、化工学院、经管学院、欧洲研究学院、商学院、政治学院等相关英语授课的专业</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10名/学年</w:t>
            </w:r>
          </w:p>
        </w:tc>
        <w:tc>
          <w:tcPr>
            <w:tcW w:w="333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雅思成绩6.0或相当水平</w:t>
            </w:r>
          </w:p>
        </w:tc>
        <w:tc>
          <w:tcPr>
            <w:tcW w:w="1203" w:type="dxa"/>
            <w:tcBorders>
              <w:top w:val="single" w:color="auto" w:sz="4" w:space="0"/>
              <w:left w:val="nil"/>
              <w:bottom w:val="single" w:color="auto" w:sz="4" w:space="0"/>
              <w:right w:val="single" w:color="auto" w:sz="4" w:space="0"/>
            </w:tcBorders>
            <w:shd w:val="clear" w:color="auto" w:fill="auto"/>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免住宿费</w:t>
            </w:r>
          </w:p>
        </w:tc>
        <w:tc>
          <w:tcPr>
            <w:tcW w:w="1026"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809"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英国西苏格兰大学学分互认项目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szCs w:val="21"/>
              </w:rPr>
              <w:t>外语学院、信息学院、经管学院；其他学院的学生可以个别咨询。</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w:t>
            </w:r>
          </w:p>
        </w:tc>
        <w:tc>
          <w:tcPr>
            <w:tcW w:w="2801" w:type="dxa"/>
            <w:tcBorders>
              <w:top w:val="single" w:color="auto" w:sz="4" w:space="0"/>
              <w:left w:val="nil"/>
              <w:bottom w:val="single" w:color="auto" w:sz="4" w:space="0"/>
              <w:right w:val="single" w:color="auto" w:sz="4" w:space="0"/>
            </w:tcBorders>
          </w:tcPr>
          <w:p>
            <w:pPr>
              <w:widowControl/>
              <w:spacing w:line="220" w:lineRule="exact"/>
              <w:jc w:val="left"/>
              <w:rPr>
                <w:szCs w:val="21"/>
              </w:rPr>
            </w:pPr>
            <w:r>
              <w:rPr>
                <w:rFonts w:hint="eastAsia"/>
                <w:szCs w:val="21"/>
              </w:rPr>
              <w:t>该校相关专业</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不限</w:t>
            </w:r>
          </w:p>
        </w:tc>
        <w:tc>
          <w:tcPr>
            <w:tcW w:w="333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雅思成绩6.0或相当水平</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学生自费</w:t>
            </w:r>
          </w:p>
        </w:tc>
        <w:tc>
          <w:tcPr>
            <w:tcW w:w="1026"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1776" w:hRule="atLeast"/>
        </w:trPr>
        <w:tc>
          <w:tcPr>
            <w:tcW w:w="427"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1808" w:type="dxa"/>
            <w:tcBorders>
              <w:top w:val="nil"/>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韩国朝鲜大学</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交换生项目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全日制在校本科生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2801"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该校提供的所有本科专业课程（有语言要求）、韩语课程和英语课程</w:t>
            </w:r>
          </w:p>
        </w:tc>
        <w:tc>
          <w:tcPr>
            <w:tcW w:w="1525"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5名</w:t>
            </w:r>
          </w:p>
        </w:tc>
        <w:tc>
          <w:tcPr>
            <w:tcW w:w="333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语言达到韩国语能力考试（TOPIK）3级及以上水平的学生（需提交成绩单），可以申请本科专业课程；语言未达TOPIK3级的学生，可以修读4门韩国语言课程（8学分）和英语课程，其他课程无法修读。</w:t>
            </w:r>
          </w:p>
        </w:tc>
        <w:tc>
          <w:tcPr>
            <w:tcW w:w="120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免学费和报名费</w:t>
            </w:r>
          </w:p>
        </w:tc>
        <w:tc>
          <w:tcPr>
            <w:tcW w:w="1026" w:type="dxa"/>
            <w:tcBorders>
              <w:top w:val="nil"/>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1518" w:hRule="atLeast"/>
        </w:trPr>
        <w:tc>
          <w:tcPr>
            <w:tcW w:w="427"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1808" w:type="dxa"/>
            <w:tcBorders>
              <w:top w:val="nil"/>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韩国忠南大学</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交换生项目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全日制在校本科生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w:t>
            </w:r>
          </w:p>
        </w:tc>
        <w:tc>
          <w:tcPr>
            <w:tcW w:w="2801"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该校提供的所有英语授课课程、韩语课程</w:t>
            </w:r>
          </w:p>
        </w:tc>
        <w:tc>
          <w:tcPr>
            <w:tcW w:w="1525"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2名</w:t>
            </w:r>
          </w:p>
        </w:tc>
        <w:tc>
          <w:tcPr>
            <w:tcW w:w="333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1）英语熟练，大学英语6级或相当于雅思6.0，能听懂英语授课；</w:t>
            </w:r>
          </w:p>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2）通过韩国语能力考试（TOPIK）3级及以上，能听懂韩国语授课;</w:t>
            </w:r>
          </w:p>
        </w:tc>
        <w:tc>
          <w:tcPr>
            <w:tcW w:w="120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tc>
        <w:tc>
          <w:tcPr>
            <w:tcW w:w="1026" w:type="dxa"/>
            <w:tcBorders>
              <w:top w:val="nil"/>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851"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台湾南台科技大学交换生项目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艺术学院、</w:t>
            </w:r>
          </w:p>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信息学院在校生</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2801"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数位设计学院：视觉传达设计、多媒体动漫、多媒体与电脑娱乐科学、创新产品设计</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10名</w:t>
            </w:r>
          </w:p>
        </w:tc>
        <w:tc>
          <w:tcPr>
            <w:tcW w:w="333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无</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学生自费</w:t>
            </w:r>
          </w:p>
        </w:tc>
        <w:tc>
          <w:tcPr>
            <w:tcW w:w="1026"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576"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7</w:t>
            </w:r>
          </w:p>
        </w:tc>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台湾台南应用科技大学交换生项目</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艺术学院在校生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2801" w:type="dxa"/>
            <w:tcBorders>
              <w:top w:val="single" w:color="auto" w:sz="4" w:space="0"/>
              <w:left w:val="single" w:color="auto" w:sz="4" w:space="0"/>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服饰设计管理、时尚设计、视觉传达设计、室内设计、产品设计、多媒体动画等课程</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10名</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无</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学生自费</w:t>
            </w:r>
          </w:p>
        </w:tc>
        <w:tc>
          <w:tcPr>
            <w:tcW w:w="1026" w:type="dxa"/>
            <w:tcBorders>
              <w:top w:val="single" w:color="auto" w:sz="4" w:space="0"/>
              <w:left w:val="single" w:color="auto" w:sz="4" w:space="0"/>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11.02日</w:t>
            </w:r>
          </w:p>
        </w:tc>
      </w:tr>
      <w:tr>
        <w:tblPrEx>
          <w:tblLayout w:type="fixed"/>
          <w:tblCellMar>
            <w:top w:w="0" w:type="dxa"/>
            <w:left w:w="108" w:type="dxa"/>
            <w:bottom w:w="0" w:type="dxa"/>
            <w:right w:w="108" w:type="dxa"/>
          </w:tblCellMar>
        </w:tblPrEx>
        <w:trPr>
          <w:trHeight w:val="576"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8</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台湾树德科技大学交换生项目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艺术学院、经管学院在校生</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w:t>
            </w:r>
          </w:p>
        </w:tc>
        <w:tc>
          <w:tcPr>
            <w:tcW w:w="2801"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该校艺术设计学院和经济管理学院有关专业</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15名</w:t>
            </w:r>
          </w:p>
        </w:tc>
        <w:tc>
          <w:tcPr>
            <w:tcW w:w="333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无</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学生自费</w:t>
            </w:r>
          </w:p>
        </w:tc>
        <w:tc>
          <w:tcPr>
            <w:tcW w:w="1026"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864"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9</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法国赛尔齐蓬多瓦兹大学</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本科生交换项目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信息学院</w:t>
            </w:r>
          </w:p>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在校本科生</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2801"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szCs w:val="21"/>
              </w:rPr>
              <w:t>该校计算机科学系提供的所有英语授课课程，还可以选修2门法语语言课程</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5名/学年</w:t>
            </w:r>
          </w:p>
        </w:tc>
        <w:tc>
          <w:tcPr>
            <w:tcW w:w="333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对于英语或法语授课项目，学生需提供英语或法语B2水平的欧洲通用语言能力证书。母语为非英语的学生托福成绩达到540（纸质版考试)或75(网络考)或210 (机考) 或雅思6.0</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tc>
        <w:tc>
          <w:tcPr>
            <w:tcW w:w="1026"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916"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法国赛尔齐蓬多瓦兹大学</w:t>
            </w:r>
          </w:p>
          <w:p>
            <w:pPr>
              <w:pStyle w:val="5"/>
              <w:spacing w:line="220" w:lineRule="exact"/>
              <w:ind w:firstLine="0" w:firstLineChars="0"/>
              <w:jc w:val="left"/>
              <w:rPr>
                <w:rFonts w:ascii="宋体" w:hAnsi="宋体" w:cs="宋体"/>
                <w:b/>
                <w:color w:val="000000"/>
                <w:kern w:val="0"/>
              </w:rPr>
            </w:pPr>
            <w:r>
              <w:rPr>
                <w:rFonts w:hint="eastAsia" w:ascii="宋体" w:hAnsi="宋体" w:cs="宋体"/>
                <w:b/>
                <w:color w:val="000000"/>
                <w:kern w:val="0"/>
              </w:rPr>
              <w:t>研究生交换项目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建工学院研一以上学生</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w:t>
            </w:r>
          </w:p>
        </w:tc>
        <w:tc>
          <w:tcPr>
            <w:tcW w:w="28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该校土木工程系相关课程</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3名/学期</w:t>
            </w:r>
          </w:p>
        </w:tc>
        <w:tc>
          <w:tcPr>
            <w:tcW w:w="333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1.学生须至少完成研究生阶段第一年的学习并满足接收学校所有的学术要求。</w:t>
            </w:r>
          </w:p>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2.对于英语或法语授课项目，学生需提供英语或法语B2水平的欧洲通用语言能力证书。母语为非英语的学生托福成绩达到540（纸质版考试)或75(网络考)或210 (机考) 或雅思6.0。</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tc>
        <w:tc>
          <w:tcPr>
            <w:tcW w:w="1026"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1043"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11</w:t>
            </w:r>
          </w:p>
        </w:tc>
        <w:tc>
          <w:tcPr>
            <w:tcW w:w="1808" w:type="dxa"/>
            <w:tcBorders>
              <w:top w:val="single" w:color="auto" w:sz="4" w:space="0"/>
              <w:left w:val="nil"/>
              <w:bottom w:val="single" w:color="auto" w:sz="4" w:space="0"/>
              <w:right w:val="single" w:color="auto" w:sz="4" w:space="0"/>
            </w:tcBorders>
            <w:shd w:val="clear" w:color="auto" w:fill="auto"/>
            <w:vAlign w:val="center"/>
          </w:tcPr>
          <w:p>
            <w:pPr>
              <w:pStyle w:val="5"/>
              <w:spacing w:line="220" w:lineRule="exact"/>
              <w:ind w:firstLine="0" w:firstLineChars="0"/>
              <w:jc w:val="left"/>
              <w:rPr>
                <w:rFonts w:ascii="宋体" w:hAnsi="宋体" w:cs="宋体"/>
                <w:b/>
                <w:color w:val="000000"/>
                <w:kern w:val="0"/>
              </w:rPr>
            </w:pPr>
            <w:r>
              <w:rPr>
                <w:rFonts w:hint="eastAsia" w:ascii="宋体" w:hAnsi="宋体" w:cs="宋体"/>
                <w:b/>
                <w:color w:val="000000"/>
                <w:kern w:val="0"/>
              </w:rPr>
              <w:t>比利时鲁汶大学工程技术学院</w:t>
            </w:r>
          </w:p>
          <w:p>
            <w:pPr>
              <w:pStyle w:val="5"/>
              <w:spacing w:line="220" w:lineRule="exact"/>
              <w:ind w:firstLine="0" w:firstLineChars="0"/>
              <w:jc w:val="left"/>
              <w:rPr>
                <w:rFonts w:ascii="宋体" w:hAnsi="宋体" w:cs="宋体"/>
                <w:b/>
                <w:color w:val="000000"/>
                <w:kern w:val="0"/>
              </w:rPr>
            </w:pPr>
            <w:r>
              <w:rPr>
                <w:rFonts w:hint="eastAsia" w:ascii="宋体" w:hAnsi="宋体" w:cs="宋体"/>
                <w:b/>
                <w:color w:val="000000"/>
                <w:kern w:val="0"/>
              </w:rPr>
              <w:t>交换生项目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建工学院大三及以上的本科生和硕士研究生</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28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鲁汶大学工程技术学院相关专业</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本科3名/学年，研究生3名/学年</w:t>
            </w:r>
          </w:p>
        </w:tc>
        <w:tc>
          <w:tcPr>
            <w:tcW w:w="333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托福540（纸质版考试)或75(网络考)或210 (机考) 或雅思6.0</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tc>
        <w:tc>
          <w:tcPr>
            <w:tcW w:w="1026"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1043"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12</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比利时比维斯大学学院学生交换项目（VIVES）</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经管学院</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w:t>
            </w:r>
          </w:p>
        </w:tc>
        <w:tc>
          <w:tcPr>
            <w:tcW w:w="2801" w:type="dxa"/>
            <w:tcBorders>
              <w:top w:val="single" w:color="auto" w:sz="4" w:space="0"/>
              <w:left w:val="nil"/>
              <w:bottom w:val="single" w:color="auto" w:sz="4" w:space="0"/>
              <w:right w:val="single" w:color="auto" w:sz="4" w:space="0"/>
            </w:tcBorders>
          </w:tcPr>
          <w:p>
            <w:pPr>
              <w:widowControl/>
              <w:spacing w:line="220" w:lineRule="exact"/>
              <w:jc w:val="left"/>
              <w:rPr>
                <w:szCs w:val="21"/>
              </w:rPr>
            </w:pPr>
            <w:r>
              <w:rPr>
                <w:rFonts w:hint="eastAsia"/>
                <w:szCs w:val="21"/>
              </w:rPr>
              <w:t>该校英语授课的相关专业</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8名</w:t>
            </w:r>
          </w:p>
        </w:tc>
        <w:tc>
          <w:tcPr>
            <w:tcW w:w="333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雅思成绩6.0或相当水平</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tc>
        <w:tc>
          <w:tcPr>
            <w:tcW w:w="1026"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11.10日</w:t>
            </w:r>
          </w:p>
        </w:tc>
      </w:tr>
      <w:tr>
        <w:tblPrEx>
          <w:tblLayout w:type="fixed"/>
          <w:tblCellMar>
            <w:top w:w="0" w:type="dxa"/>
            <w:left w:w="108" w:type="dxa"/>
            <w:bottom w:w="0" w:type="dxa"/>
            <w:right w:w="108" w:type="dxa"/>
          </w:tblCellMar>
        </w:tblPrEx>
        <w:trPr>
          <w:trHeight w:val="216"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13</w:t>
            </w:r>
          </w:p>
        </w:tc>
        <w:tc>
          <w:tcPr>
            <w:tcW w:w="1808"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美国加州大学</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洛杉矶分校（UCLA）</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暑期修学项目</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全日制在校本科生</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6周</w:t>
            </w:r>
          </w:p>
        </w:tc>
        <w:tc>
          <w:tcPr>
            <w:tcW w:w="2801" w:type="dxa"/>
            <w:tcBorders>
              <w:top w:val="single" w:color="auto" w:sz="4" w:space="0"/>
              <w:left w:val="nil"/>
              <w:bottom w:val="single" w:color="auto" w:sz="4" w:space="0"/>
              <w:right w:val="single" w:color="auto" w:sz="4" w:space="0"/>
            </w:tcBorders>
          </w:tcPr>
          <w:p>
            <w:pPr>
              <w:widowControl/>
              <w:spacing w:line="220" w:lineRule="exact"/>
              <w:jc w:val="left"/>
              <w:rPr>
                <w:szCs w:val="21"/>
              </w:rPr>
            </w:pPr>
            <w:r>
              <w:rPr>
                <w:rFonts w:hint="eastAsia"/>
                <w:szCs w:val="21"/>
              </w:rPr>
              <w:t>该校相关专业</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10名</w:t>
            </w:r>
          </w:p>
        </w:tc>
        <w:tc>
          <w:tcPr>
            <w:tcW w:w="333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英语6级或相当于雅思6.0</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学生自费</w:t>
            </w:r>
          </w:p>
        </w:tc>
        <w:tc>
          <w:tcPr>
            <w:tcW w:w="1026" w:type="dxa"/>
            <w:tcBorders>
              <w:top w:val="single" w:color="auto" w:sz="4" w:space="0"/>
              <w:left w:val="nil"/>
              <w:bottom w:val="single" w:color="auto" w:sz="4" w:space="0"/>
              <w:right w:val="single" w:color="auto" w:sz="4" w:space="0"/>
            </w:tcBorders>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2016.03</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方正小标宋简体">
    <w:altName w:val="黑体"/>
    <w:panose1 w:val="03000509000000000000"/>
    <w:charset w:val="86"/>
    <w:family w:val="script"/>
    <w:pitch w:val="default"/>
    <w:sig w:usb0="00000000" w:usb1="00000000" w:usb2="00000010" w:usb3="00000000" w:csb0="00040000" w:csb1="00000000"/>
  </w:font>
  <w:font w:name="黑体">
    <w:panose1 w:val="02010600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黑体">
    <w:panose1 w:val="02010600030101010101"/>
    <w:charset w:val="86"/>
    <w:family w:val="script"/>
    <w:pitch w:val="default"/>
    <w:sig w:usb0="00000001" w:usb1="080E0000" w:usb2="00000000" w:usb3="00000000" w:csb0="00040000" w:csb1="00000000"/>
  </w:font>
  <w:font w:name="Lucida Sans Unicode">
    <w:panose1 w:val="020B0602030504020204"/>
    <w:charset w:val="00"/>
    <w:family w:val="roman"/>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B554D"/>
    <w:rsid w:val="796B55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列出段落1"/>
    <w:basedOn w:val="1"/>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2015-11-04T01:24:00Z</dcterms:created>
  <dc:creator>Administrator</dc:creator>
  <cp:lastModifiedBy>Administrator</cp:lastModifiedBy>
  <dcterms:modified xsi:type="dcterms:W3CDTF">2015-11-04T01:24:39Z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